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81486" w14:textId="77777777" w:rsidR="007A37E5" w:rsidRPr="00C67780" w:rsidRDefault="00A61F1F" w:rsidP="0041251E">
      <w:pPr>
        <w:pStyle w:val="Title"/>
        <w:rPr>
          <w:color w:val="004E84" w:themeColor="background2"/>
          <w:sz w:val="44"/>
          <w:szCs w:val="44"/>
        </w:rPr>
      </w:pPr>
      <w:r w:rsidRPr="00C67780">
        <w:rPr>
          <w:color w:val="004E84" w:themeColor="background2"/>
          <w:sz w:val="44"/>
          <w:szCs w:val="44"/>
        </w:rPr>
        <w:t>Informace k vyplnění zpráv DÚF při zohlednění sdílení elektřiny a flexibility</w:t>
      </w:r>
    </w:p>
    <w:p w14:paraId="3E9FD7E5" w14:textId="30C96B4F" w:rsidR="003D300C" w:rsidRDefault="00E44A52">
      <w:pPr>
        <w:rPr>
          <w:color w:val="000000" w:themeColor="text1"/>
          <w:kern w:val="2"/>
          <w:lang w:val="en-US"/>
        </w:rPr>
      </w:pPr>
      <w:r w:rsidRPr="35714CBF">
        <w:rPr>
          <w:color w:val="000000" w:themeColor="text1"/>
        </w:rPr>
        <w:t>Tento dokument shrnuje</w:t>
      </w:r>
      <w:r w:rsidR="003D300C" w:rsidRPr="35714CBF">
        <w:rPr>
          <w:color w:val="000000" w:themeColor="text1"/>
        </w:rPr>
        <w:t xml:space="preserve"> základní principy vyplňování zpráv DÚF v návaznosti na rozšíření šablony CDSIDIS o položky související se sdílením elektřiny a poskytováním flexibility.</w:t>
      </w:r>
    </w:p>
    <w:p w14:paraId="32AB316C" w14:textId="77777777" w:rsidR="007A37E5" w:rsidRPr="004C52A7" w:rsidRDefault="00547CE5" w:rsidP="003E6E91">
      <w:pPr>
        <w:pStyle w:val="Heading1"/>
        <w:rPr>
          <w:color w:val="005C8A" w:themeColor="text2" w:themeShade="BF"/>
          <w:sz w:val="32"/>
          <w:szCs w:val="32"/>
        </w:rPr>
      </w:pPr>
      <w:r w:rsidRPr="004C52A7">
        <w:rPr>
          <w:color w:val="005C8A" w:themeColor="text2" w:themeShade="BF"/>
          <w:sz w:val="32"/>
          <w:szCs w:val="32"/>
        </w:rPr>
        <w:t>Přehled typů zpráv DÚF</w:t>
      </w:r>
    </w:p>
    <w:p w14:paraId="47E0DF2B" w14:textId="72FC2BC3" w:rsidR="00DB75B7" w:rsidRDefault="00DB75B7">
      <w:pPr>
        <w:rPr>
          <w:color w:val="auto"/>
          <w:kern w:val="2"/>
          <w:lang w:val="en-US"/>
        </w:rPr>
      </w:pPr>
      <w:r w:rsidRPr="1A902782">
        <w:rPr>
          <w:color w:val="auto"/>
        </w:rPr>
        <w:t xml:space="preserve">V praxi se rozlišují tři základní oblasti použití zpráv </w:t>
      </w:r>
      <w:r w:rsidR="264F1CE2" w:rsidRPr="1A902782">
        <w:rPr>
          <w:color w:val="auto"/>
        </w:rPr>
        <w:t>DÚF</w:t>
      </w:r>
      <w:r w:rsidR="3D1EA03D" w:rsidRPr="1A902782">
        <w:rPr>
          <w:color w:val="auto"/>
        </w:rPr>
        <w:t xml:space="preserve"> pro odběrná místa</w:t>
      </w:r>
      <w:r w:rsidRPr="1A902782">
        <w:rPr>
          <w:color w:val="auto"/>
        </w:rPr>
        <w:t>:</w:t>
      </w:r>
    </w:p>
    <w:p w14:paraId="3C507C8A" w14:textId="7FD90087" w:rsidR="00701E91" w:rsidRPr="00701E91" w:rsidRDefault="0A10D7CC" w:rsidP="001B1B6E">
      <w:pPr>
        <w:pStyle w:val="ListParagraph"/>
        <w:numPr>
          <w:ilvl w:val="0"/>
          <w:numId w:val="2"/>
        </w:numPr>
        <w:rPr>
          <w:color w:val="auto"/>
          <w:sz w:val="24"/>
          <w:szCs w:val="24"/>
          <w:lang w:val="en-US"/>
        </w:rPr>
      </w:pPr>
      <w:r w:rsidRPr="1A902782">
        <w:rPr>
          <w:color w:val="auto"/>
          <w:sz w:val="24"/>
          <w:szCs w:val="24"/>
        </w:rPr>
        <w:t>bez sdílení a flexibi</w:t>
      </w:r>
      <w:r w:rsidR="674D1A22" w:rsidRPr="1A902782">
        <w:rPr>
          <w:color w:val="auto"/>
          <w:sz w:val="24"/>
          <w:szCs w:val="24"/>
        </w:rPr>
        <w:t>li</w:t>
      </w:r>
      <w:r w:rsidRPr="1A902782">
        <w:rPr>
          <w:color w:val="auto"/>
          <w:sz w:val="24"/>
          <w:szCs w:val="24"/>
        </w:rPr>
        <w:t>ty</w:t>
      </w:r>
      <w:r w:rsidR="1B5E09F2" w:rsidRPr="1A902782">
        <w:rPr>
          <w:color w:val="auto"/>
          <w:sz w:val="24"/>
          <w:szCs w:val="24"/>
        </w:rPr>
        <w:t>,</w:t>
      </w:r>
    </w:p>
    <w:p w14:paraId="76C6928C" w14:textId="5DB0350D" w:rsidR="00701E91" w:rsidRPr="00701E91" w:rsidRDefault="00701E91" w:rsidP="001B1B6E">
      <w:pPr>
        <w:pStyle w:val="ListParagraph"/>
        <w:numPr>
          <w:ilvl w:val="0"/>
          <w:numId w:val="2"/>
        </w:numPr>
        <w:rPr>
          <w:color w:val="auto"/>
          <w:sz w:val="24"/>
          <w:szCs w:val="24"/>
        </w:rPr>
      </w:pPr>
      <w:r w:rsidRPr="1A902782">
        <w:rPr>
          <w:color w:val="auto"/>
          <w:sz w:val="24"/>
          <w:szCs w:val="24"/>
        </w:rPr>
        <w:t>se zohledněním sdílení elektřiny,</w:t>
      </w:r>
    </w:p>
    <w:p w14:paraId="3AF0EB96" w14:textId="72503448" w:rsidR="00701E91" w:rsidRPr="00701E91" w:rsidRDefault="00701E91" w:rsidP="001B1B6E">
      <w:pPr>
        <w:pStyle w:val="ListParagraph"/>
        <w:numPr>
          <w:ilvl w:val="0"/>
          <w:numId w:val="2"/>
        </w:numPr>
        <w:rPr>
          <w:color w:val="auto"/>
          <w:sz w:val="24"/>
          <w:szCs w:val="24"/>
        </w:rPr>
      </w:pPr>
      <w:r w:rsidRPr="1A902782">
        <w:rPr>
          <w:color w:val="auto"/>
          <w:sz w:val="24"/>
          <w:szCs w:val="24"/>
        </w:rPr>
        <w:t>se zohledněním poskytované flexibility.</w:t>
      </w:r>
    </w:p>
    <w:p w14:paraId="41375FC8" w14:textId="419E901B" w:rsidR="007A37E5" w:rsidRPr="00F57A00" w:rsidRDefault="003A2CC5" w:rsidP="008879AC">
      <w:pPr>
        <w:rPr>
          <w:color w:val="000000" w:themeColor="text1"/>
        </w:rPr>
      </w:pPr>
      <w:r w:rsidRPr="00F57A00">
        <w:rPr>
          <w:color w:val="000000" w:themeColor="text1"/>
        </w:rPr>
        <w:t xml:space="preserve">Uvedené oblasti se mohou týkat jak odběrných míst mimo hladinu nízkého napětí, tak odběrných míst na hladině nízkého napětí. </w:t>
      </w:r>
      <w:r w:rsidR="63A0D3BD" w:rsidRPr="00F57A00">
        <w:rPr>
          <w:color w:val="000000" w:themeColor="text1"/>
        </w:rPr>
        <w:t>Z tohoto důvodu jsou dále rozlišeny varianty DUFVO a DUFMO.</w:t>
      </w:r>
    </w:p>
    <w:p w14:paraId="0A082230" w14:textId="77777777" w:rsidR="007A37E5" w:rsidRPr="006118CF" w:rsidRDefault="00277683" w:rsidP="006118CF">
      <w:pPr>
        <w:pStyle w:val="Heading1"/>
        <w:rPr>
          <w:color w:val="005C8A" w:themeColor="text2" w:themeShade="BF"/>
          <w:sz w:val="32"/>
          <w:szCs w:val="32"/>
        </w:rPr>
      </w:pPr>
      <w:r w:rsidRPr="006118CF">
        <w:rPr>
          <w:color w:val="005C8A" w:themeColor="text2" w:themeShade="BF"/>
          <w:sz w:val="32"/>
          <w:szCs w:val="32"/>
        </w:rPr>
        <w:t>Základní princip plnění nových položek</w:t>
      </w:r>
    </w:p>
    <w:p w14:paraId="3341DF60" w14:textId="4DEE4555" w:rsidR="00911173" w:rsidRDefault="7BAD0A54">
      <w:pPr>
        <w:rPr>
          <w:color w:val="auto"/>
        </w:rPr>
      </w:pPr>
      <w:r w:rsidRPr="40BDC2FA">
        <w:rPr>
          <w:color w:val="auto"/>
        </w:rPr>
        <w:t>Se zavedením sdílení elektřiny a flexibility byly do šablony CDSIDIS doplněny nové nepovinné atributy</w:t>
      </w:r>
      <w:r w:rsidR="007C76CF">
        <w:rPr>
          <w:color w:val="auto"/>
        </w:rPr>
        <w:t xml:space="preserve"> (viz tabulky níže)</w:t>
      </w:r>
      <w:r w:rsidRPr="40BDC2FA">
        <w:rPr>
          <w:color w:val="auto"/>
        </w:rPr>
        <w:t>. Tyto atributy slouží k předávání hodnot celkového odběru pro vyúčtování dodávky elektřiny po zohlednění příslušné služby.</w:t>
      </w:r>
      <w:r w:rsidR="7ABDA1E6" w:rsidRPr="40BDC2FA">
        <w:rPr>
          <w:color w:val="auto"/>
        </w:rPr>
        <w:t xml:space="preserve"> </w:t>
      </w:r>
      <w:r w:rsidR="131F3D0E" w:rsidRPr="40BDC2FA">
        <w:rPr>
          <w:color w:val="auto"/>
        </w:rPr>
        <w:t>Z pohledu XSD šablon jde o nepovinné položky. Jejich vyplnění je však relevantní v případech, kdy má být ve zprávě DÚF předána hodnota odběru upravená o sdílenou elektřinu nebo o poskytnutou flexibilitu.</w:t>
      </w:r>
      <w:r w:rsidR="0AA82FA5" w:rsidRPr="40BDC2FA">
        <w:rPr>
          <w:color w:val="auto"/>
        </w:rPr>
        <w:t xml:space="preserve"> </w:t>
      </w:r>
      <w:r w:rsidR="5A2EA922" w:rsidRPr="40BDC2FA">
        <w:rPr>
          <w:color w:val="auto"/>
        </w:rPr>
        <w:t>Provozovatel distribuční soustavy vyplňuje příslušné položky podle toho, jaká služba je u daného odběrného nebo předávacího místa pro dané období relevantní.</w:t>
      </w:r>
    </w:p>
    <w:p w14:paraId="372E3D8B" w14:textId="144FFCEA" w:rsidR="00DA0048" w:rsidRDefault="00B22089" w:rsidP="00DA0048">
      <w:pPr>
        <w:pStyle w:val="Heading1"/>
        <w:rPr>
          <w:color w:val="005C8A" w:themeColor="text2" w:themeShade="BF"/>
          <w:sz w:val="32"/>
          <w:szCs w:val="32"/>
        </w:rPr>
      </w:pPr>
      <w:r>
        <w:rPr>
          <w:color w:val="005C8A" w:themeColor="text2" w:themeShade="BF"/>
          <w:sz w:val="32"/>
          <w:szCs w:val="32"/>
        </w:rPr>
        <w:t>Základní p</w:t>
      </w:r>
      <w:r w:rsidR="0008218D">
        <w:rPr>
          <w:color w:val="005C8A" w:themeColor="text2" w:themeShade="BF"/>
          <w:sz w:val="32"/>
          <w:szCs w:val="32"/>
        </w:rPr>
        <w:t xml:space="preserve">rincipy kontroly vyplnění DUF </w:t>
      </w:r>
    </w:p>
    <w:p w14:paraId="739D8411" w14:textId="261C98B3" w:rsidR="0008218D" w:rsidRPr="00B22089" w:rsidRDefault="00067753" w:rsidP="0008218D">
      <w:pPr>
        <w:rPr>
          <w:color w:val="auto"/>
        </w:rPr>
      </w:pPr>
      <w:r w:rsidRPr="00B22089">
        <w:rPr>
          <w:color w:val="auto"/>
        </w:rPr>
        <w:t>Základní kontroly vyplnění DUF týkající se nových atributů jsou následující:</w:t>
      </w:r>
    </w:p>
    <w:p w14:paraId="4651D676" w14:textId="04B38ADA" w:rsidR="006C3E0F" w:rsidRDefault="21ADDC22" w:rsidP="001B1B6E">
      <w:pPr>
        <w:pStyle w:val="ListParagraph"/>
        <w:numPr>
          <w:ilvl w:val="0"/>
          <w:numId w:val="8"/>
        </w:numPr>
        <w:rPr>
          <w:color w:val="auto"/>
        </w:rPr>
      </w:pPr>
      <w:r w:rsidRPr="40BDC2FA">
        <w:rPr>
          <w:color w:val="auto"/>
        </w:rPr>
        <w:t xml:space="preserve">DUF musí mít </w:t>
      </w:r>
      <w:r w:rsidR="006C3E0F">
        <w:rPr>
          <w:color w:val="auto"/>
        </w:rPr>
        <w:t>vyplněn alespoň jeden z těchto atributů:</w:t>
      </w:r>
    </w:p>
    <w:p w14:paraId="03117664" w14:textId="54705BC3" w:rsidR="006C3E0F" w:rsidRDefault="563F1DEA" w:rsidP="006C3E0F">
      <w:pPr>
        <w:pStyle w:val="ListParagraph"/>
        <w:numPr>
          <w:ilvl w:val="1"/>
          <w:numId w:val="8"/>
        </w:numPr>
        <w:rPr>
          <w:color w:val="auto"/>
        </w:rPr>
      </w:pPr>
      <w:r w:rsidRPr="006C3E0F">
        <w:rPr>
          <w:b/>
          <w:bCs/>
          <w:color w:val="auto"/>
        </w:rPr>
        <w:t>qty</w:t>
      </w:r>
      <w:r w:rsidR="14BF9CE0" w:rsidRPr="40BDC2FA">
        <w:rPr>
          <w:color w:val="auto"/>
        </w:rPr>
        <w:t xml:space="preserve"> (</w:t>
      </w:r>
      <w:r w:rsidR="4561D866" w:rsidRPr="40BDC2FA">
        <w:rPr>
          <w:color w:val="auto"/>
        </w:rPr>
        <w:t>bez sdílení a flexibility)</w:t>
      </w:r>
      <w:r w:rsidR="006C3E0F">
        <w:rPr>
          <w:color w:val="auto"/>
        </w:rPr>
        <w:t xml:space="preserve"> nebo</w:t>
      </w:r>
      <w:r w:rsidR="4561D866" w:rsidRPr="40BDC2FA">
        <w:rPr>
          <w:color w:val="auto"/>
        </w:rPr>
        <w:t>,</w:t>
      </w:r>
      <w:r w:rsidRPr="40BDC2FA">
        <w:rPr>
          <w:color w:val="auto"/>
        </w:rPr>
        <w:t xml:space="preserve"> </w:t>
      </w:r>
    </w:p>
    <w:p w14:paraId="64F4216F" w14:textId="414518B1" w:rsidR="006C3E0F" w:rsidRDefault="14BF9CE0" w:rsidP="006C3E0F">
      <w:pPr>
        <w:pStyle w:val="ListParagraph"/>
        <w:numPr>
          <w:ilvl w:val="1"/>
          <w:numId w:val="8"/>
        </w:numPr>
        <w:rPr>
          <w:color w:val="auto"/>
        </w:rPr>
      </w:pPr>
      <w:r w:rsidRPr="006C3E0F">
        <w:rPr>
          <w:b/>
          <w:bCs/>
          <w:color w:val="auto"/>
        </w:rPr>
        <w:t>qty-ash</w:t>
      </w:r>
      <w:r w:rsidR="4561D866" w:rsidRPr="40BDC2FA">
        <w:rPr>
          <w:color w:val="auto"/>
        </w:rPr>
        <w:t xml:space="preserve"> (se sdílením)</w:t>
      </w:r>
      <w:r w:rsidR="006C3E0F">
        <w:rPr>
          <w:color w:val="auto"/>
        </w:rPr>
        <w:t xml:space="preserve"> nebo</w:t>
      </w:r>
      <w:r w:rsidR="4561D866" w:rsidRPr="40BDC2FA">
        <w:rPr>
          <w:color w:val="auto"/>
        </w:rPr>
        <w:t>,</w:t>
      </w:r>
      <w:r w:rsidRPr="40BDC2FA">
        <w:rPr>
          <w:color w:val="auto"/>
        </w:rPr>
        <w:t xml:space="preserve"> </w:t>
      </w:r>
    </w:p>
    <w:p w14:paraId="49AEAE25" w14:textId="7F0A97D9" w:rsidR="00067753" w:rsidRPr="001B1B6E" w:rsidRDefault="14BF9CE0" w:rsidP="006C3E0F">
      <w:pPr>
        <w:pStyle w:val="ListParagraph"/>
        <w:numPr>
          <w:ilvl w:val="1"/>
          <w:numId w:val="8"/>
        </w:numPr>
        <w:rPr>
          <w:color w:val="auto"/>
        </w:rPr>
      </w:pPr>
      <w:r w:rsidRPr="006C3E0F">
        <w:rPr>
          <w:b/>
          <w:bCs/>
          <w:color w:val="auto"/>
        </w:rPr>
        <w:t>qty-flex</w:t>
      </w:r>
      <w:r w:rsidR="4561D866" w:rsidRPr="40BDC2FA">
        <w:rPr>
          <w:color w:val="auto"/>
        </w:rPr>
        <w:t xml:space="preserve"> (s</w:t>
      </w:r>
      <w:r w:rsidR="12EC8C25" w:rsidRPr="40BDC2FA">
        <w:rPr>
          <w:color w:val="auto"/>
        </w:rPr>
        <w:t xml:space="preserve"> flexibilitou)</w:t>
      </w:r>
      <w:r w:rsidRPr="40BDC2FA">
        <w:rPr>
          <w:color w:val="auto"/>
        </w:rPr>
        <w:t>,</w:t>
      </w:r>
    </w:p>
    <w:p w14:paraId="788DE08D" w14:textId="7342A7C5" w:rsidR="00F950E7" w:rsidRPr="001B1B6E" w:rsidRDefault="257244E2" w:rsidP="001B1B6E">
      <w:pPr>
        <w:pStyle w:val="ListParagraph"/>
        <w:numPr>
          <w:ilvl w:val="0"/>
          <w:numId w:val="8"/>
        </w:numPr>
        <w:rPr>
          <w:color w:val="auto"/>
        </w:rPr>
      </w:pPr>
      <w:r w:rsidRPr="40BDC2FA">
        <w:rPr>
          <w:color w:val="auto"/>
        </w:rPr>
        <w:t>Navíc je možné</w:t>
      </w:r>
      <w:r w:rsidR="18AF0FD5" w:rsidRPr="40BDC2FA">
        <w:rPr>
          <w:color w:val="auto"/>
        </w:rPr>
        <w:t xml:space="preserve"> vyplnit </w:t>
      </w:r>
      <w:r w:rsidR="66F550A7" w:rsidRPr="40BDC2FA">
        <w:rPr>
          <w:color w:val="auto"/>
        </w:rPr>
        <w:t xml:space="preserve">i hodnotu </w:t>
      </w:r>
      <w:r w:rsidRPr="40BDC2FA">
        <w:rPr>
          <w:color w:val="auto"/>
        </w:rPr>
        <w:t>qty-flexash</w:t>
      </w:r>
      <w:r w:rsidR="66F550A7" w:rsidRPr="40BDC2FA">
        <w:rPr>
          <w:color w:val="auto"/>
        </w:rPr>
        <w:t xml:space="preserve">, </w:t>
      </w:r>
      <w:r w:rsidR="546D9888" w:rsidRPr="40BDC2FA">
        <w:rPr>
          <w:color w:val="auto"/>
        </w:rPr>
        <w:t xml:space="preserve">která bude </w:t>
      </w:r>
      <w:r w:rsidR="4CD044BC" w:rsidRPr="40BDC2FA">
        <w:rPr>
          <w:color w:val="auto"/>
        </w:rPr>
        <w:t>prozatím</w:t>
      </w:r>
      <w:r w:rsidR="546D9888" w:rsidRPr="40BDC2FA">
        <w:rPr>
          <w:color w:val="auto"/>
        </w:rPr>
        <w:t xml:space="preserve"> sloužit jako informativní hodnota</w:t>
      </w:r>
      <w:r w:rsidR="14E5EC8C" w:rsidRPr="40BDC2FA">
        <w:rPr>
          <w:color w:val="auto"/>
        </w:rPr>
        <w:t>,</w:t>
      </w:r>
    </w:p>
    <w:p w14:paraId="15DABD30" w14:textId="03CE8CF0" w:rsidR="00B22089" w:rsidRPr="001B1B6E" w:rsidRDefault="0031453B" w:rsidP="001B1B6E">
      <w:pPr>
        <w:pStyle w:val="ListParagraph"/>
        <w:numPr>
          <w:ilvl w:val="0"/>
          <w:numId w:val="8"/>
        </w:numPr>
        <w:rPr>
          <w:color w:val="auto"/>
        </w:rPr>
      </w:pPr>
      <w:r w:rsidRPr="001B1B6E">
        <w:rPr>
          <w:color w:val="auto"/>
        </w:rPr>
        <w:t xml:space="preserve">Pokud bude vyplněna pouze hodnota </w:t>
      </w:r>
      <w:r w:rsidR="000040AF" w:rsidRPr="001B1B6E">
        <w:rPr>
          <w:color w:val="auto"/>
        </w:rPr>
        <w:t>qty-flexash</w:t>
      </w:r>
      <w:r w:rsidRPr="001B1B6E">
        <w:rPr>
          <w:color w:val="auto"/>
        </w:rPr>
        <w:t>, nebude DUF přijat</w:t>
      </w:r>
      <w:r w:rsidR="001F7026" w:rsidRPr="001B1B6E">
        <w:rPr>
          <w:color w:val="auto"/>
        </w:rPr>
        <w:t>.</w:t>
      </w:r>
    </w:p>
    <w:p w14:paraId="5D579DE6" w14:textId="2294AAE4" w:rsidR="00C03637" w:rsidRPr="0001678E" w:rsidRDefault="00C03637" w:rsidP="0001678E">
      <w:pPr>
        <w:pStyle w:val="Heading1"/>
        <w:rPr>
          <w:b/>
          <w:bCs/>
          <w:color w:val="005C8A" w:themeColor="text2" w:themeShade="BF"/>
        </w:rPr>
      </w:pPr>
      <w:r w:rsidRPr="0001678E">
        <w:rPr>
          <w:b/>
          <w:bCs/>
          <w:color w:val="005C8A" w:themeColor="text2" w:themeShade="BF"/>
        </w:rPr>
        <w:t>Nové položky pro zohlednění sdílení elektřiny</w:t>
      </w:r>
    </w:p>
    <w:p w14:paraId="702A678D" w14:textId="77777777" w:rsidR="007A37E5" w:rsidRPr="000E46DA" w:rsidRDefault="000E46DA" w:rsidP="00335422">
      <w:pPr>
        <w:pStyle w:val="Heading2"/>
      </w:pPr>
      <w:r>
        <w:t>DUFVO – odběrná místa mimo hladinu NN</w:t>
      </w:r>
    </w:p>
    <w:p w14:paraId="3EF8BAA1" w14:textId="77777777" w:rsidR="000733C9" w:rsidRPr="00D709D3" w:rsidRDefault="000733C9">
      <w:pPr>
        <w:rPr>
          <w:color w:val="auto"/>
          <w:kern w:val="2"/>
          <w:lang w:val="en-US"/>
        </w:rPr>
      </w:pPr>
      <w:bookmarkStart w:id="0" w:name="_Toc176343487"/>
      <w:bookmarkStart w:id="1" w:name="_Toc164159263"/>
      <w:r w:rsidRPr="00D709D3">
        <w:rPr>
          <w:color w:val="auto"/>
        </w:rPr>
        <w:t xml:space="preserve">Ve zprávě DUFVO je pro zohlednění sdílení elektřiny doplněn nový nepovinný atribut </w:t>
      </w:r>
      <w:r w:rsidRPr="00D709D3">
        <w:rPr>
          <w:b/>
          <w:bCs/>
          <w:color w:val="auto"/>
        </w:rPr>
        <w:t>qty-ash</w:t>
      </w:r>
      <w:r w:rsidRPr="00D709D3">
        <w:rPr>
          <w:color w:val="auto"/>
        </w:rPr>
        <w:t>. Tento atribut slouží pro uvedení celkového odběru pro vyúčtování dodávky elektřiny po zohlednění sdílené elektřiny.</w:t>
      </w:r>
    </w:p>
    <w:tbl>
      <w:tblPr>
        <w:tblStyle w:val="GridTable4-Accent1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407"/>
        <w:gridCol w:w="6467"/>
        <w:gridCol w:w="1142"/>
      </w:tblGrid>
      <w:tr w:rsidR="00FD00DE" w14:paraId="0B6679B3" w14:textId="77777777" w:rsidTr="006C6F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CECFF"/>
            <w:hideMark/>
          </w:tcPr>
          <w:bookmarkEnd w:id="0"/>
          <w:bookmarkEnd w:id="1"/>
          <w:p w14:paraId="5F2E46F4" w14:textId="77777777" w:rsidR="00FD00DE" w:rsidRPr="00551F5B" w:rsidRDefault="00FD00DE">
            <w:pPr>
              <w:spacing w:after="160"/>
              <w:rPr>
                <w:color w:val="auto"/>
                <w:kern w:val="2"/>
                <w:sz w:val="20"/>
                <w:szCs w:val="20"/>
                <w:lang w:val="en-US"/>
              </w:rPr>
            </w:pPr>
            <w:r w:rsidRPr="00551F5B">
              <w:rPr>
                <w:color w:val="auto"/>
                <w:sz w:val="20"/>
                <w:szCs w:val="20"/>
              </w:rPr>
              <w:t>Název atributu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CECFF"/>
            <w:hideMark/>
          </w:tcPr>
          <w:p w14:paraId="0D64D4E3" w14:textId="77777777" w:rsidR="00FD00DE" w:rsidRPr="00551F5B" w:rsidRDefault="00FD00DE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Popis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CECFF"/>
            <w:hideMark/>
          </w:tcPr>
          <w:p w14:paraId="7047BE8F" w14:textId="77777777" w:rsidR="00FD00DE" w:rsidRPr="00551F5B" w:rsidRDefault="00FD00DE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Struktura</w:t>
            </w:r>
          </w:p>
        </w:tc>
      </w:tr>
      <w:tr w:rsidR="00FD00DE" w14:paraId="55DF650C" w14:textId="77777777" w:rsidTr="006C6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5578457" w14:textId="77777777" w:rsidR="00FD00DE" w:rsidRPr="00551F5B" w:rsidRDefault="00FD00DE">
            <w:pPr>
              <w:spacing w:after="16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qty-ash</w:t>
            </w:r>
          </w:p>
        </w:tc>
        <w:tc>
          <w:tcPr>
            <w:tcW w:w="0" w:type="auto"/>
            <w:shd w:val="clear" w:color="auto" w:fill="auto"/>
            <w:hideMark/>
          </w:tcPr>
          <w:p w14:paraId="397D0647" w14:textId="77777777" w:rsidR="00FD00DE" w:rsidRPr="00551F5B" w:rsidRDefault="00FD00DE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Celkový odběr pro vyúčtování dodávky elektřiny se zohledněním sdílené elektřiny.</w:t>
            </w:r>
          </w:p>
        </w:tc>
        <w:tc>
          <w:tcPr>
            <w:tcW w:w="0" w:type="auto"/>
            <w:shd w:val="clear" w:color="auto" w:fill="auto"/>
            <w:hideMark/>
          </w:tcPr>
          <w:p w14:paraId="0C669143" w14:textId="77777777" w:rsidR="00FD00DE" w:rsidRPr="00551F5B" w:rsidRDefault="00FD00DE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qty_type_2</w:t>
            </w:r>
          </w:p>
        </w:tc>
      </w:tr>
    </w:tbl>
    <w:p w14:paraId="47493C6E" w14:textId="77777777" w:rsidR="007A37E5" w:rsidRPr="00D709D3" w:rsidRDefault="00962AB0" w:rsidP="008879AC">
      <w:pPr>
        <w:rPr>
          <w:color w:val="auto"/>
        </w:rPr>
      </w:pPr>
      <w:r w:rsidRPr="00D709D3">
        <w:rPr>
          <w:color w:val="auto"/>
        </w:rPr>
        <w:t>Hodnota se uvádí v kWh, s přesností podle příslušné struktury šablony.</w:t>
      </w:r>
    </w:p>
    <w:p w14:paraId="5F31EAE3" w14:textId="77777777" w:rsidR="007A37E5" w:rsidRPr="004B10C7" w:rsidRDefault="004B10C7" w:rsidP="00C74ECF">
      <w:pPr>
        <w:pStyle w:val="Heading2"/>
      </w:pPr>
      <w:r>
        <w:t>DUFMO – odběrná místa na hladině NN</w:t>
      </w:r>
    </w:p>
    <w:p w14:paraId="0FC3BEB8" w14:textId="77777777" w:rsidR="006F2034" w:rsidRPr="00D709D3" w:rsidRDefault="006F2034">
      <w:pPr>
        <w:rPr>
          <w:color w:val="auto"/>
          <w:kern w:val="2"/>
          <w:lang w:val="en-US"/>
        </w:rPr>
      </w:pPr>
      <w:r w:rsidRPr="00D709D3">
        <w:rPr>
          <w:color w:val="auto"/>
        </w:rPr>
        <w:t xml:space="preserve">Ve zprávě DUFMO jsou pro zohlednění sdílení elektřiny doplněny dva nepovinné atributy: </w:t>
      </w:r>
      <w:r w:rsidRPr="00D709D3">
        <w:rPr>
          <w:b/>
          <w:bCs/>
          <w:color w:val="auto"/>
        </w:rPr>
        <w:t>qty-ashvt</w:t>
      </w:r>
      <w:r w:rsidRPr="00D709D3">
        <w:rPr>
          <w:color w:val="auto"/>
        </w:rPr>
        <w:t xml:space="preserve"> a </w:t>
      </w:r>
      <w:r w:rsidRPr="00D709D3">
        <w:rPr>
          <w:b/>
          <w:bCs/>
          <w:color w:val="auto"/>
        </w:rPr>
        <w:t>qty-ashnt</w:t>
      </w:r>
      <w:r w:rsidRPr="00D709D3">
        <w:rPr>
          <w:color w:val="auto"/>
        </w:rPr>
        <w:t>. Tyto atributy slouží pro rozdělení hodnoty odběru se zohledněním sdílení elektřiny na vysoký a nízký tarif.</w:t>
      </w:r>
    </w:p>
    <w:tbl>
      <w:tblPr>
        <w:tblStyle w:val="GridTable4-Accent1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308"/>
        <w:gridCol w:w="6566"/>
        <w:gridCol w:w="1142"/>
      </w:tblGrid>
      <w:tr w:rsidR="00C74ECF" w:rsidRPr="00424BE8" w14:paraId="4B673C47" w14:textId="77777777" w:rsidTr="00010F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CECFF"/>
            <w:hideMark/>
          </w:tcPr>
          <w:p w14:paraId="49496CD9" w14:textId="77777777" w:rsidR="00C74ECF" w:rsidRPr="00551F5B" w:rsidRDefault="00C74ECF">
            <w:pPr>
              <w:spacing w:after="160"/>
              <w:rPr>
                <w:color w:val="auto"/>
                <w:kern w:val="2"/>
                <w:sz w:val="20"/>
                <w:szCs w:val="20"/>
                <w:lang w:val="en-US"/>
              </w:rPr>
            </w:pPr>
            <w:r w:rsidRPr="00551F5B">
              <w:rPr>
                <w:color w:val="auto"/>
                <w:sz w:val="20"/>
                <w:szCs w:val="20"/>
              </w:rPr>
              <w:t>Název atributu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CECFF"/>
            <w:hideMark/>
          </w:tcPr>
          <w:p w14:paraId="20E19235" w14:textId="77777777" w:rsidR="00C74ECF" w:rsidRPr="00551F5B" w:rsidRDefault="00C74ECF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Popis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CECFF"/>
            <w:hideMark/>
          </w:tcPr>
          <w:p w14:paraId="08B2B8C6" w14:textId="77777777" w:rsidR="00C74ECF" w:rsidRPr="00551F5B" w:rsidRDefault="00C74ECF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Struktura</w:t>
            </w:r>
          </w:p>
        </w:tc>
      </w:tr>
      <w:tr w:rsidR="00C74ECF" w:rsidRPr="00424BE8" w14:paraId="46BA1197" w14:textId="77777777" w:rsidTr="00010F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2803A0C" w14:textId="77777777" w:rsidR="00C74ECF" w:rsidRPr="00551F5B" w:rsidRDefault="00C74ECF">
            <w:pPr>
              <w:spacing w:after="16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qty-ashvt</w:t>
            </w:r>
          </w:p>
        </w:tc>
        <w:tc>
          <w:tcPr>
            <w:tcW w:w="0" w:type="auto"/>
            <w:shd w:val="clear" w:color="auto" w:fill="auto"/>
            <w:hideMark/>
          </w:tcPr>
          <w:p w14:paraId="1C3FB86D" w14:textId="77777777" w:rsidR="00C74ECF" w:rsidRPr="00551F5B" w:rsidRDefault="00C74EC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Celkový odběr pro vyúčtování dodávky elektřiny se zohledněním sdílené elektřiny ve vysokém tarifu.</w:t>
            </w:r>
          </w:p>
        </w:tc>
        <w:tc>
          <w:tcPr>
            <w:tcW w:w="0" w:type="auto"/>
            <w:shd w:val="clear" w:color="auto" w:fill="auto"/>
            <w:hideMark/>
          </w:tcPr>
          <w:p w14:paraId="5392EDCF" w14:textId="77777777" w:rsidR="00C74ECF" w:rsidRPr="00551F5B" w:rsidRDefault="00C74EC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qty_type_2</w:t>
            </w:r>
          </w:p>
        </w:tc>
      </w:tr>
      <w:tr w:rsidR="00C74ECF" w:rsidRPr="00424BE8" w14:paraId="7B78756D" w14:textId="77777777" w:rsidTr="00010F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419D34" w14:textId="77777777" w:rsidR="00C74ECF" w:rsidRPr="00551F5B" w:rsidRDefault="00C74ECF">
            <w:pPr>
              <w:spacing w:after="16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qty-ashnt</w:t>
            </w:r>
          </w:p>
        </w:tc>
        <w:tc>
          <w:tcPr>
            <w:tcW w:w="0" w:type="auto"/>
            <w:hideMark/>
          </w:tcPr>
          <w:p w14:paraId="4F38BB71" w14:textId="77777777" w:rsidR="00C74ECF" w:rsidRPr="00551F5B" w:rsidRDefault="00C74EC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Celkový odběr pro vyúčtování dodávky elektřiny se zohledněním sdílené elektřiny v nízkém tarifu.</w:t>
            </w:r>
          </w:p>
        </w:tc>
        <w:tc>
          <w:tcPr>
            <w:tcW w:w="0" w:type="auto"/>
            <w:hideMark/>
          </w:tcPr>
          <w:p w14:paraId="4E7BB917" w14:textId="77777777" w:rsidR="00C74ECF" w:rsidRPr="00551F5B" w:rsidRDefault="00C74EC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qty_type_2</w:t>
            </w:r>
          </w:p>
        </w:tc>
      </w:tr>
    </w:tbl>
    <w:p w14:paraId="6C7AF945" w14:textId="77777777" w:rsidR="002D62E7" w:rsidRDefault="002D62E7">
      <w:pPr>
        <w:rPr>
          <w:kern w:val="2"/>
          <w:lang w:val="en-US"/>
        </w:rPr>
      </w:pPr>
    </w:p>
    <w:p w14:paraId="024D8D53" w14:textId="77777777" w:rsidR="004C6A05" w:rsidRPr="00010F9C" w:rsidRDefault="004C6A05" w:rsidP="00C74ECF">
      <w:pPr>
        <w:pStyle w:val="Heading2"/>
        <w:rPr>
          <w:color w:val="005C8A" w:themeColor="text2" w:themeShade="BF"/>
        </w:rPr>
      </w:pPr>
      <w:r w:rsidRPr="00010F9C">
        <w:rPr>
          <w:color w:val="005C8A" w:themeColor="text2" w:themeShade="BF"/>
        </w:rPr>
        <w:t>Určení hodnoty odběru při zohlednění sdílení elektřiny</w:t>
      </w:r>
    </w:p>
    <w:p w14:paraId="127A7645" w14:textId="1B237FC4" w:rsidR="007A37E5" w:rsidRPr="00424BE8" w:rsidRDefault="005129BF" w:rsidP="008879AC">
      <w:pPr>
        <w:rPr>
          <w:color w:val="auto"/>
        </w:rPr>
      </w:pPr>
      <w:bookmarkStart w:id="2" w:name="_Toc1656791832"/>
      <w:r w:rsidRPr="00424BE8">
        <w:rPr>
          <w:color w:val="auto"/>
        </w:rPr>
        <w:t xml:space="preserve">V případě jednotarifního odběru provozovatel distribuční soustavy určí hodnotu </w:t>
      </w:r>
      <w:r w:rsidRPr="00424BE8">
        <w:rPr>
          <w:b/>
          <w:bCs/>
          <w:color w:val="auto"/>
        </w:rPr>
        <w:t>qty-ash</w:t>
      </w:r>
      <w:r w:rsidR="2769E1CD" w:rsidRPr="4A95EE61">
        <w:rPr>
          <w:b/>
          <w:bCs/>
          <w:color w:val="auto"/>
        </w:rPr>
        <w:t xml:space="preserve"> </w:t>
      </w:r>
      <w:r w:rsidRPr="00424BE8">
        <w:rPr>
          <w:color w:val="auto"/>
        </w:rPr>
        <w:t>jako sumu hodnot profilu S12 na daném EAN za příslušné období.</w:t>
      </w:r>
    </w:p>
    <w:p w14:paraId="35C994B1" w14:textId="77777777" w:rsidR="007A37E5" w:rsidRPr="00424BE8" w:rsidRDefault="00DD2357" w:rsidP="008879AC">
      <w:pPr>
        <w:rPr>
          <w:color w:val="auto"/>
        </w:rPr>
      </w:pPr>
      <w:bookmarkStart w:id="3" w:name="_Toc1039741039"/>
      <w:bookmarkEnd w:id="2"/>
      <w:r w:rsidRPr="00424BE8">
        <w:rPr>
          <w:color w:val="auto"/>
        </w:rPr>
        <w:t>V případě vícetarifního odběru provozovatel distribuční soustavy rozdělí profil S12 získaný ze systému OTE do vysokého a nízkého tarifu podle časů spínání tarifů.</w:t>
      </w:r>
    </w:p>
    <w:bookmarkEnd w:id="3"/>
    <w:p w14:paraId="246742E7" w14:textId="77777777" w:rsidR="007A37E5" w:rsidRPr="000F2EC4" w:rsidRDefault="0024628D" w:rsidP="00C74ECF">
      <w:pPr>
        <w:pStyle w:val="Heading1"/>
        <w:rPr>
          <w:b/>
          <w:bCs/>
          <w:color w:val="005C8A" w:themeColor="text2" w:themeShade="BF"/>
        </w:rPr>
      </w:pPr>
      <w:r w:rsidRPr="000F2EC4">
        <w:rPr>
          <w:b/>
          <w:bCs/>
          <w:color w:val="005C8A" w:themeColor="text2" w:themeShade="BF"/>
        </w:rPr>
        <w:t>Nové položky pro zohlednění flexibility</w:t>
      </w:r>
    </w:p>
    <w:p w14:paraId="69ECD081" w14:textId="77777777" w:rsidR="007A37E5" w:rsidRPr="00CE4ECA" w:rsidRDefault="00CE4ECA" w:rsidP="00C74ECF">
      <w:pPr>
        <w:pStyle w:val="Heading2"/>
      </w:pPr>
      <w:r>
        <w:t>DUFVO – odběrná místa mimo hladinu NN</w:t>
      </w:r>
    </w:p>
    <w:p w14:paraId="12168B7D" w14:textId="77777777" w:rsidR="007A37E5" w:rsidRPr="0083751C" w:rsidRDefault="00A35A7D" w:rsidP="008879AC">
      <w:pPr>
        <w:rPr>
          <w:color w:val="auto"/>
        </w:rPr>
      </w:pPr>
      <w:r w:rsidRPr="0083751C">
        <w:rPr>
          <w:color w:val="auto"/>
        </w:rPr>
        <w:t xml:space="preserve">Ve zprávě DUFVO je pro zohlednění poskytované flexibility doplněn nový nepovinný atribut </w:t>
      </w:r>
      <w:r w:rsidRPr="0083751C">
        <w:rPr>
          <w:b/>
          <w:bCs/>
          <w:color w:val="auto"/>
        </w:rPr>
        <w:t>qty-flex</w:t>
      </w:r>
      <w:r w:rsidRPr="0083751C">
        <w:rPr>
          <w:color w:val="auto"/>
        </w:rPr>
        <w:t>. Tento atribut slouží pro uvedení celkového odběru pro vyúčtování dodávky elektřiny po zohlednění poskytnuté flexibility.</w:t>
      </w:r>
    </w:p>
    <w:tbl>
      <w:tblPr>
        <w:tblStyle w:val="GridTable4-Accent1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379"/>
        <w:gridCol w:w="6495"/>
        <w:gridCol w:w="1142"/>
      </w:tblGrid>
      <w:tr w:rsidR="00C74ECF" w14:paraId="760844B2" w14:textId="77777777" w:rsidTr="00010F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CECFF"/>
            <w:hideMark/>
          </w:tcPr>
          <w:p w14:paraId="3D64C5B6" w14:textId="77777777" w:rsidR="00C74ECF" w:rsidRPr="00551F5B" w:rsidRDefault="00C74ECF">
            <w:pPr>
              <w:spacing w:after="160"/>
              <w:rPr>
                <w:color w:val="auto"/>
                <w:kern w:val="2"/>
                <w:sz w:val="20"/>
                <w:szCs w:val="20"/>
                <w:lang w:val="en-US"/>
              </w:rPr>
            </w:pPr>
            <w:bookmarkStart w:id="4" w:name="_Toc2001642376"/>
            <w:r w:rsidRPr="00551F5B">
              <w:rPr>
                <w:color w:val="auto"/>
                <w:sz w:val="20"/>
                <w:szCs w:val="20"/>
              </w:rPr>
              <w:t>Název atributu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CECFF"/>
            <w:hideMark/>
          </w:tcPr>
          <w:p w14:paraId="5E019ED2" w14:textId="77777777" w:rsidR="00C74ECF" w:rsidRPr="00551F5B" w:rsidRDefault="00C74ECF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Popis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CECFF"/>
            <w:hideMark/>
          </w:tcPr>
          <w:p w14:paraId="7F36D7F8" w14:textId="77777777" w:rsidR="00C74ECF" w:rsidRPr="00551F5B" w:rsidRDefault="00C74ECF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Struktura</w:t>
            </w:r>
          </w:p>
        </w:tc>
      </w:tr>
      <w:tr w:rsidR="00C74ECF" w14:paraId="7D0274E2" w14:textId="77777777" w:rsidTr="00010F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6404764" w14:textId="77777777" w:rsidR="00C74ECF" w:rsidRPr="00551F5B" w:rsidRDefault="00C74ECF">
            <w:pPr>
              <w:spacing w:after="16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qty-flex</w:t>
            </w:r>
          </w:p>
        </w:tc>
        <w:tc>
          <w:tcPr>
            <w:tcW w:w="0" w:type="auto"/>
            <w:shd w:val="clear" w:color="auto" w:fill="auto"/>
            <w:hideMark/>
          </w:tcPr>
          <w:p w14:paraId="5AFFA25D" w14:textId="77777777" w:rsidR="00C74ECF" w:rsidRPr="00551F5B" w:rsidRDefault="00C74EC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Celkový odběr pro vyúčtování dodávky elektřiny se zohledněním poskytnuté flexibility.</w:t>
            </w:r>
          </w:p>
        </w:tc>
        <w:tc>
          <w:tcPr>
            <w:tcW w:w="0" w:type="auto"/>
            <w:shd w:val="clear" w:color="auto" w:fill="auto"/>
            <w:hideMark/>
          </w:tcPr>
          <w:p w14:paraId="1C04BE3A" w14:textId="77777777" w:rsidR="00C74ECF" w:rsidRPr="00551F5B" w:rsidRDefault="00C74EC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qty_type_2</w:t>
            </w:r>
          </w:p>
        </w:tc>
      </w:tr>
    </w:tbl>
    <w:p w14:paraId="77F83536" w14:textId="77777777" w:rsidR="007A37E5" w:rsidRDefault="007A37E5" w:rsidP="008879AC"/>
    <w:bookmarkEnd w:id="4"/>
    <w:p w14:paraId="7461A4B9" w14:textId="77777777" w:rsidR="007A37E5" w:rsidRPr="005A5AF3" w:rsidRDefault="008879AC" w:rsidP="005A5AF3">
      <w:pPr>
        <w:pStyle w:val="Heading3"/>
        <w:rPr>
          <w:rFonts w:cstheme="minorBidi"/>
        </w:rPr>
      </w:pPr>
      <w:r>
        <w:t xml:space="preserve">DUFMO </w:t>
      </w:r>
      <w:r w:rsidR="005A5AF3">
        <w:rPr>
          <w:rFonts w:cstheme="minorBidi"/>
        </w:rPr>
        <w:t xml:space="preserve">– </w:t>
      </w:r>
      <w:r>
        <w:t>odběrná místa na hladině NN</w:t>
      </w:r>
    </w:p>
    <w:p w14:paraId="000B5987" w14:textId="77777777" w:rsidR="007A37E5" w:rsidRPr="0083751C" w:rsidRDefault="008E1F1E" w:rsidP="008879AC">
      <w:pPr>
        <w:rPr>
          <w:color w:val="auto"/>
        </w:rPr>
      </w:pPr>
      <w:r w:rsidRPr="0083751C">
        <w:rPr>
          <w:color w:val="auto"/>
        </w:rPr>
        <w:t xml:space="preserve">Ve zprávě DUFMO jsou pro zohlednění poskytované flexibility doplněny dva nepovinné atributy: </w:t>
      </w:r>
      <w:r w:rsidRPr="0083751C">
        <w:rPr>
          <w:b/>
          <w:bCs/>
          <w:color w:val="auto"/>
        </w:rPr>
        <w:t>qty-flexVT</w:t>
      </w:r>
      <w:r w:rsidRPr="0083751C">
        <w:rPr>
          <w:color w:val="auto"/>
        </w:rPr>
        <w:t xml:space="preserve"> a </w:t>
      </w:r>
      <w:r w:rsidRPr="0083751C">
        <w:rPr>
          <w:b/>
          <w:bCs/>
          <w:color w:val="auto"/>
        </w:rPr>
        <w:t>qty-flexNT</w:t>
      </w:r>
      <w:r w:rsidRPr="0083751C">
        <w:rPr>
          <w:color w:val="auto"/>
        </w:rPr>
        <w:t>. Tyto atributy slouží pro rozdělení hodnoty odběru se zohledněním flexibility na vysoký a nízký tarif.</w:t>
      </w:r>
    </w:p>
    <w:tbl>
      <w:tblPr>
        <w:tblStyle w:val="GridTable4-Accent1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289"/>
        <w:gridCol w:w="6585"/>
        <w:gridCol w:w="1142"/>
      </w:tblGrid>
      <w:tr w:rsidR="00C74ECF" w:rsidRPr="0083751C" w14:paraId="5F733132" w14:textId="77777777" w:rsidTr="00010F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CECFF"/>
            <w:hideMark/>
          </w:tcPr>
          <w:p w14:paraId="7E71FC9E" w14:textId="77777777" w:rsidR="00C74ECF" w:rsidRPr="0083751C" w:rsidRDefault="00C74ECF">
            <w:pPr>
              <w:spacing w:after="160"/>
              <w:rPr>
                <w:kern w:val="2"/>
                <w:sz w:val="20"/>
                <w:szCs w:val="20"/>
                <w:lang w:val="en-US"/>
              </w:rPr>
            </w:pPr>
            <w:r w:rsidRPr="0083751C">
              <w:rPr>
                <w:sz w:val="20"/>
                <w:szCs w:val="20"/>
              </w:rPr>
              <w:t>Název atributu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CECFF"/>
            <w:hideMark/>
          </w:tcPr>
          <w:p w14:paraId="75F5310E" w14:textId="77777777" w:rsidR="00C74ECF" w:rsidRPr="0083751C" w:rsidRDefault="00C74ECF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3751C">
              <w:rPr>
                <w:sz w:val="20"/>
                <w:szCs w:val="20"/>
              </w:rPr>
              <w:t>Popis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CECFF"/>
            <w:hideMark/>
          </w:tcPr>
          <w:p w14:paraId="5A67E96F" w14:textId="77777777" w:rsidR="00C74ECF" w:rsidRPr="0083751C" w:rsidRDefault="00C74ECF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3751C">
              <w:rPr>
                <w:sz w:val="20"/>
                <w:szCs w:val="20"/>
              </w:rPr>
              <w:t>Struktura</w:t>
            </w:r>
          </w:p>
        </w:tc>
      </w:tr>
      <w:tr w:rsidR="00C74ECF" w:rsidRPr="0083751C" w14:paraId="145E50F4" w14:textId="77777777" w:rsidTr="00010F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1333E41" w14:textId="77777777" w:rsidR="00C74ECF" w:rsidRPr="00551F5B" w:rsidRDefault="00C74ECF">
            <w:pPr>
              <w:spacing w:after="16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qty-flexVT</w:t>
            </w:r>
          </w:p>
        </w:tc>
        <w:tc>
          <w:tcPr>
            <w:tcW w:w="0" w:type="auto"/>
            <w:shd w:val="clear" w:color="auto" w:fill="auto"/>
            <w:hideMark/>
          </w:tcPr>
          <w:p w14:paraId="05E81D75" w14:textId="77777777" w:rsidR="00C74ECF" w:rsidRPr="00551F5B" w:rsidRDefault="00C74EC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Celkový odběr pro vyúčtování dodávky elektřiny se zohledněním poskytnuté flexibility ve vysokém tarifu.</w:t>
            </w:r>
          </w:p>
        </w:tc>
        <w:tc>
          <w:tcPr>
            <w:tcW w:w="0" w:type="auto"/>
            <w:shd w:val="clear" w:color="auto" w:fill="auto"/>
            <w:hideMark/>
          </w:tcPr>
          <w:p w14:paraId="34BEBCD0" w14:textId="77777777" w:rsidR="00C74ECF" w:rsidRPr="00551F5B" w:rsidRDefault="00C74EC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qty_type_2</w:t>
            </w:r>
          </w:p>
        </w:tc>
      </w:tr>
      <w:tr w:rsidR="00C74ECF" w:rsidRPr="0083751C" w14:paraId="14B03414" w14:textId="77777777" w:rsidTr="00010F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546EDF" w14:textId="77777777" w:rsidR="00C74ECF" w:rsidRPr="00551F5B" w:rsidRDefault="00C74ECF">
            <w:pPr>
              <w:spacing w:after="16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qty-flexNT</w:t>
            </w:r>
          </w:p>
        </w:tc>
        <w:tc>
          <w:tcPr>
            <w:tcW w:w="0" w:type="auto"/>
            <w:hideMark/>
          </w:tcPr>
          <w:p w14:paraId="1F2E0667" w14:textId="77777777" w:rsidR="00C74ECF" w:rsidRPr="00551F5B" w:rsidRDefault="00C74EC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Celkový odběr pro vyúčtování dodávky elektřiny se zohledněním poskytnuté flexibility v nízkém tarifu.</w:t>
            </w:r>
          </w:p>
        </w:tc>
        <w:tc>
          <w:tcPr>
            <w:tcW w:w="0" w:type="auto"/>
            <w:hideMark/>
          </w:tcPr>
          <w:p w14:paraId="43B86966" w14:textId="77777777" w:rsidR="00C74ECF" w:rsidRPr="00551F5B" w:rsidRDefault="00C74EC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qty_type_2</w:t>
            </w:r>
          </w:p>
        </w:tc>
      </w:tr>
    </w:tbl>
    <w:p w14:paraId="50E39C11" w14:textId="77777777" w:rsidR="001F5F95" w:rsidRDefault="001F5F95">
      <w:pPr>
        <w:rPr>
          <w:kern w:val="2"/>
          <w:lang w:val="en-US"/>
        </w:rPr>
      </w:pPr>
    </w:p>
    <w:p w14:paraId="5D49158B" w14:textId="77777777" w:rsidR="00ED6221" w:rsidRPr="000342DD" w:rsidRDefault="00ED6221">
      <w:pPr>
        <w:pStyle w:val="Heading2"/>
        <w:rPr>
          <w:rFonts w:cstheme="minorBidi"/>
          <w:color w:val="005C8A" w:themeColor="text2" w:themeShade="BF"/>
          <w:kern w:val="2"/>
          <w:lang w:val="en-US"/>
        </w:rPr>
      </w:pPr>
      <w:r w:rsidRPr="000342DD">
        <w:rPr>
          <w:rFonts w:cstheme="minorBidi"/>
          <w:color w:val="005C8A" w:themeColor="text2" w:themeShade="BF"/>
        </w:rPr>
        <w:t>Určení hodnoty odběru při zohlednění flexibility</w:t>
      </w:r>
    </w:p>
    <w:p w14:paraId="0475FE83" w14:textId="5DE25A56" w:rsidR="008504F9" w:rsidRPr="00551F5B" w:rsidRDefault="008504F9">
      <w:pPr>
        <w:rPr>
          <w:color w:val="auto"/>
          <w:kern w:val="2"/>
          <w:sz w:val="20"/>
          <w:szCs w:val="20"/>
          <w:lang w:val="en-US"/>
        </w:rPr>
      </w:pPr>
      <w:r w:rsidRPr="00551F5B">
        <w:rPr>
          <w:color w:val="auto"/>
          <w:sz w:val="20"/>
          <w:szCs w:val="20"/>
        </w:rPr>
        <w:t xml:space="preserve">V případě jednotarifního odběru provozovatel distribuční soustavy určí hodnotu </w:t>
      </w:r>
      <w:r w:rsidRPr="00551F5B">
        <w:rPr>
          <w:b/>
          <w:bCs/>
          <w:color w:val="auto"/>
          <w:sz w:val="20"/>
          <w:szCs w:val="20"/>
        </w:rPr>
        <w:t>qty-flex</w:t>
      </w:r>
      <w:r w:rsidR="52FE3836" w:rsidRPr="11547D23">
        <w:rPr>
          <w:b/>
          <w:bCs/>
          <w:color w:val="auto"/>
          <w:sz w:val="20"/>
          <w:szCs w:val="20"/>
        </w:rPr>
        <w:t xml:space="preserve"> </w:t>
      </w:r>
      <w:r w:rsidRPr="00551F5B">
        <w:rPr>
          <w:color w:val="auto"/>
          <w:sz w:val="20"/>
          <w:szCs w:val="20"/>
        </w:rPr>
        <w:t>jako sumu hodnot profilu FL12 na daném EAN za příslušné období.</w:t>
      </w:r>
    </w:p>
    <w:p w14:paraId="51ABCF64" w14:textId="77777777" w:rsidR="007A37E5" w:rsidRPr="00551F5B" w:rsidRDefault="00A25A11" w:rsidP="008879AC">
      <w:pPr>
        <w:rPr>
          <w:color w:val="auto"/>
          <w:sz w:val="20"/>
          <w:szCs w:val="20"/>
        </w:rPr>
      </w:pPr>
      <w:bookmarkStart w:id="5" w:name="_Toc1375181225"/>
      <w:r w:rsidRPr="00551F5B">
        <w:rPr>
          <w:color w:val="auto"/>
          <w:sz w:val="20"/>
          <w:szCs w:val="20"/>
        </w:rPr>
        <w:t>V případě vícetarifního odběru provozovatel distribuční soustavy rozdělí profil FL12 získaný ze systému OTE do vysokého a nízkého tarifu podle časů spínání tarifů.</w:t>
      </w:r>
    </w:p>
    <w:bookmarkEnd w:id="5"/>
    <w:p w14:paraId="27D05E15" w14:textId="77777777" w:rsidR="007A37E5" w:rsidRPr="000F2EC4" w:rsidRDefault="000700D4" w:rsidP="000342DD">
      <w:pPr>
        <w:pStyle w:val="Heading1"/>
        <w:rPr>
          <w:b/>
          <w:bCs/>
          <w:color w:val="005C8A" w:themeColor="text2" w:themeShade="BF"/>
        </w:rPr>
      </w:pPr>
      <w:r w:rsidRPr="000F2EC4">
        <w:rPr>
          <w:b/>
          <w:bCs/>
          <w:color w:val="005C8A" w:themeColor="text2" w:themeShade="BF"/>
        </w:rPr>
        <w:t>Připravené položky pro budoucí souběh sdílení a flexibility</w:t>
      </w:r>
    </w:p>
    <w:p w14:paraId="04607C34" w14:textId="77777777" w:rsidR="007A37E5" w:rsidRPr="0083751C" w:rsidRDefault="00D64E0C" w:rsidP="008879AC">
      <w:pPr>
        <w:rPr>
          <w:color w:val="auto"/>
        </w:rPr>
      </w:pPr>
      <w:r w:rsidRPr="0083751C">
        <w:rPr>
          <w:color w:val="auto"/>
        </w:rPr>
        <w:t>Pro budoucí využití jsou v šabloně připraveny také atributy určené pro situaci, kdy by bylo možné u jednoho odběrného nebo předávacího místa zohlednit sdílení elektřiny i poskytovanou flexibilitu současně.</w:t>
      </w:r>
    </w:p>
    <w:p w14:paraId="217712A9" w14:textId="77777777" w:rsidR="007A37E5" w:rsidRPr="0083751C" w:rsidRDefault="00F63C96" w:rsidP="008879AC">
      <w:pPr>
        <w:rPr>
          <w:color w:val="auto"/>
        </w:rPr>
      </w:pPr>
      <w:r w:rsidRPr="0083751C">
        <w:rPr>
          <w:color w:val="auto"/>
        </w:rPr>
        <w:t>Jedná se o tyto atributy:</w:t>
      </w:r>
    </w:p>
    <w:tbl>
      <w:tblPr>
        <w:tblStyle w:val="GridTable4-Accent1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697"/>
        <w:gridCol w:w="7319"/>
      </w:tblGrid>
      <w:tr w:rsidR="00C74ECF" w:rsidRPr="0083751C" w14:paraId="3DC06FA8" w14:textId="77777777" w:rsidTr="008457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CECFF"/>
            <w:hideMark/>
          </w:tcPr>
          <w:p w14:paraId="39DE07AB" w14:textId="77777777" w:rsidR="00C74ECF" w:rsidRPr="00551F5B" w:rsidRDefault="00C74ECF">
            <w:pPr>
              <w:spacing w:after="160"/>
              <w:rPr>
                <w:color w:val="auto"/>
                <w:kern w:val="2"/>
                <w:sz w:val="20"/>
                <w:szCs w:val="20"/>
                <w:lang w:val="en-US"/>
              </w:rPr>
            </w:pPr>
            <w:r w:rsidRPr="00551F5B">
              <w:rPr>
                <w:color w:val="auto"/>
                <w:sz w:val="20"/>
                <w:szCs w:val="20"/>
              </w:rPr>
              <w:t>Název atributu</w:t>
            </w:r>
          </w:p>
        </w:tc>
        <w:tc>
          <w:tcPr>
            <w:tcW w:w="405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CECFF"/>
            <w:hideMark/>
          </w:tcPr>
          <w:p w14:paraId="15D8EB1D" w14:textId="77777777" w:rsidR="00C74ECF" w:rsidRPr="00551F5B" w:rsidRDefault="00C74ECF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Popis</w:t>
            </w:r>
          </w:p>
        </w:tc>
      </w:tr>
      <w:tr w:rsidR="00C74ECF" w:rsidRPr="0083751C" w14:paraId="027E173C" w14:textId="77777777" w:rsidTr="008457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pct"/>
            <w:shd w:val="clear" w:color="auto" w:fill="auto"/>
            <w:hideMark/>
          </w:tcPr>
          <w:p w14:paraId="1A885BBF" w14:textId="77777777" w:rsidR="00C74ECF" w:rsidRPr="00551F5B" w:rsidRDefault="00C74ECF">
            <w:pPr>
              <w:spacing w:after="16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qty-flexash</w:t>
            </w:r>
          </w:p>
        </w:tc>
        <w:tc>
          <w:tcPr>
            <w:tcW w:w="4059" w:type="pct"/>
            <w:shd w:val="clear" w:color="auto" w:fill="auto"/>
            <w:hideMark/>
          </w:tcPr>
          <w:p w14:paraId="7C346E72" w14:textId="77777777" w:rsidR="00C74ECF" w:rsidRPr="00551F5B" w:rsidRDefault="00C74EC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Celkový odběr pro vyúčtování dodávky elektřiny se zohledněním sdílené elektřiny a poskytnuté flexibility.</w:t>
            </w:r>
          </w:p>
        </w:tc>
      </w:tr>
      <w:tr w:rsidR="00C74ECF" w:rsidRPr="0083751C" w14:paraId="32B25FE6" w14:textId="77777777" w:rsidTr="008457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pct"/>
            <w:hideMark/>
          </w:tcPr>
          <w:p w14:paraId="3A4E0A2D" w14:textId="77777777" w:rsidR="00C74ECF" w:rsidRPr="00551F5B" w:rsidRDefault="00C74ECF">
            <w:pPr>
              <w:spacing w:after="16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qty-flexashVT</w:t>
            </w:r>
          </w:p>
        </w:tc>
        <w:tc>
          <w:tcPr>
            <w:tcW w:w="4059" w:type="pct"/>
            <w:hideMark/>
          </w:tcPr>
          <w:p w14:paraId="5EE92EB9" w14:textId="77777777" w:rsidR="00C74ECF" w:rsidRPr="00551F5B" w:rsidRDefault="00C74ECF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Celkový odběr pro vyúčtování dodávky elektřiny se zohledněním sdílené elektřiny a poskytnuté flexibility ve vysokém tarifu.</w:t>
            </w:r>
          </w:p>
        </w:tc>
      </w:tr>
      <w:tr w:rsidR="00C74ECF" w:rsidRPr="0083751C" w14:paraId="4F8996AE" w14:textId="77777777" w:rsidTr="008457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pct"/>
            <w:shd w:val="clear" w:color="auto" w:fill="auto"/>
            <w:hideMark/>
          </w:tcPr>
          <w:p w14:paraId="0015DB97" w14:textId="77777777" w:rsidR="00C74ECF" w:rsidRPr="00551F5B" w:rsidRDefault="00C74ECF">
            <w:pPr>
              <w:spacing w:after="16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qty-flexashNT</w:t>
            </w:r>
          </w:p>
        </w:tc>
        <w:tc>
          <w:tcPr>
            <w:tcW w:w="4059" w:type="pct"/>
            <w:shd w:val="clear" w:color="auto" w:fill="auto"/>
            <w:hideMark/>
          </w:tcPr>
          <w:p w14:paraId="6195EBF2" w14:textId="77777777" w:rsidR="00C74ECF" w:rsidRPr="00551F5B" w:rsidRDefault="00C74EC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51F5B">
              <w:rPr>
                <w:color w:val="auto"/>
                <w:sz w:val="20"/>
                <w:szCs w:val="20"/>
              </w:rPr>
              <w:t>Celkový odběr pro vyúčtování dodávky elektřiny se zohledněním sdílené elektřiny a poskytnuté flexibility v nízkém tarifu.</w:t>
            </w:r>
          </w:p>
        </w:tc>
      </w:tr>
    </w:tbl>
    <w:p w14:paraId="3B298D81" w14:textId="68A953EE" w:rsidR="007A37E5" w:rsidRPr="0083751C" w:rsidRDefault="005429C1" w:rsidP="008879AC">
      <w:pPr>
        <w:rPr>
          <w:color w:val="auto"/>
        </w:rPr>
      </w:pPr>
      <w:r w:rsidRPr="0083751C">
        <w:rPr>
          <w:color w:val="auto"/>
        </w:rPr>
        <w:t xml:space="preserve">V aktuálním procesním nastavení se však nepředpokládá souběžné poskytování sdílení elektřiny a flexibility na jednom místě. Pokud je tedy u odběrného nebo předávacího místa poskytována jedna z těchto služeb, v DÚF se pro druhou službu uvádějí nulové hodnoty, případně se příslušná položka </w:t>
      </w:r>
      <w:r w:rsidR="00940D5A">
        <w:rPr>
          <w:color w:val="auto"/>
        </w:rPr>
        <w:t xml:space="preserve">pro druhou službu v DUFu vůbec neuvádí. </w:t>
      </w:r>
    </w:p>
    <w:p w14:paraId="721D71BD" w14:textId="17231676" w:rsidR="00765503" w:rsidRDefault="00765503">
      <w:pPr>
        <w:rPr>
          <w:kern w:val="2"/>
          <w:lang w:val="en-US"/>
        </w:rPr>
      </w:pPr>
      <w:r>
        <w:rPr>
          <w:color w:val="auto"/>
        </w:rPr>
        <w:t>Pokud PDS ve zprávě DÚF vyplní některý z</w:t>
      </w:r>
      <w:r w:rsidR="00790BB6">
        <w:rPr>
          <w:color w:val="auto"/>
        </w:rPr>
        <w:t> </w:t>
      </w:r>
      <w:r w:rsidR="000040F4">
        <w:rPr>
          <w:color w:val="auto"/>
        </w:rPr>
        <w:t>připravených</w:t>
      </w:r>
      <w:r>
        <w:rPr>
          <w:color w:val="auto"/>
        </w:rPr>
        <w:t xml:space="preserve"> atributů</w:t>
      </w:r>
      <w:r w:rsidR="00790BB6">
        <w:rPr>
          <w:color w:val="auto"/>
        </w:rPr>
        <w:t xml:space="preserve"> pro budoucí souběh sdílení a flexibility</w:t>
      </w:r>
      <w:r>
        <w:rPr>
          <w:color w:val="auto"/>
        </w:rPr>
        <w:t>,</w:t>
      </w:r>
      <w:r w:rsidR="00686B0E">
        <w:rPr>
          <w:color w:val="auto"/>
        </w:rPr>
        <w:t xml:space="preserve"> </w:t>
      </w:r>
      <w:r w:rsidR="00790BB6">
        <w:rPr>
          <w:color w:val="auto"/>
        </w:rPr>
        <w:t>systém</w:t>
      </w:r>
      <w:r>
        <w:rPr>
          <w:color w:val="auto"/>
        </w:rPr>
        <w:t xml:space="preserve"> OTE </w:t>
      </w:r>
      <w:r w:rsidR="00686B0E">
        <w:rPr>
          <w:color w:val="auto"/>
        </w:rPr>
        <w:t xml:space="preserve">tento údaj přijme a následně jej </w:t>
      </w:r>
      <w:r>
        <w:rPr>
          <w:color w:val="auto"/>
        </w:rPr>
        <w:t>před</w:t>
      </w:r>
      <w:r w:rsidR="00686B0E">
        <w:rPr>
          <w:color w:val="auto"/>
        </w:rPr>
        <w:t>á</w:t>
      </w:r>
      <w:r>
        <w:rPr>
          <w:color w:val="auto"/>
        </w:rPr>
        <w:t xml:space="preserve"> příslušnému obchodníkovi</w:t>
      </w:r>
      <w:r w:rsidR="002D5AA4">
        <w:rPr>
          <w:color w:val="auto"/>
        </w:rPr>
        <w:t xml:space="preserve"> a SZ</w:t>
      </w:r>
      <w:r>
        <w:rPr>
          <w:color w:val="auto"/>
        </w:rPr>
        <w:t>. Odpovědnost za kontrolu toho, které informace jsou do zprávy DÚF vyplněny, nese PDS.</w:t>
      </w:r>
    </w:p>
    <w:p w14:paraId="6825AC57" w14:textId="77777777" w:rsidR="00765503" w:rsidRDefault="00765503"/>
    <w:sectPr w:rsidR="00765503" w:rsidSect="008C37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A1E94"/>
    <w:multiLevelType w:val="multilevel"/>
    <w:tmpl w:val="147C48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10303"/>
    <w:multiLevelType w:val="hybridMultilevel"/>
    <w:tmpl w:val="78328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E69C1"/>
    <w:multiLevelType w:val="hybridMultilevel"/>
    <w:tmpl w:val="97A2C778"/>
    <w:lvl w:ilvl="0" w:tplc="493AC2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653267"/>
    <w:multiLevelType w:val="hybridMultilevel"/>
    <w:tmpl w:val="948E7500"/>
    <w:lvl w:ilvl="0" w:tplc="0C80F4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73CB9"/>
    <w:multiLevelType w:val="multilevel"/>
    <w:tmpl w:val="A74EC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8104A9"/>
    <w:multiLevelType w:val="hybridMultilevel"/>
    <w:tmpl w:val="E8C218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281E3D"/>
    <w:multiLevelType w:val="multilevel"/>
    <w:tmpl w:val="74787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881837"/>
    <w:multiLevelType w:val="hybridMultilevel"/>
    <w:tmpl w:val="39B8AD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9444647">
    <w:abstractNumId w:val="4"/>
  </w:num>
  <w:num w:numId="2" w16cid:durableId="1193882870">
    <w:abstractNumId w:val="0"/>
  </w:num>
  <w:num w:numId="3" w16cid:durableId="130372057">
    <w:abstractNumId w:val="6"/>
  </w:num>
  <w:num w:numId="4" w16cid:durableId="1724597652">
    <w:abstractNumId w:val="7"/>
  </w:num>
  <w:num w:numId="5" w16cid:durableId="1924530992">
    <w:abstractNumId w:val="3"/>
  </w:num>
  <w:num w:numId="6" w16cid:durableId="1996107839">
    <w:abstractNumId w:val="2"/>
  </w:num>
  <w:num w:numId="7" w16cid:durableId="655647543">
    <w:abstractNumId w:val="1"/>
  </w:num>
  <w:num w:numId="8" w16cid:durableId="90715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F1"/>
    <w:rsid w:val="000040AF"/>
    <w:rsid w:val="000040F4"/>
    <w:rsid w:val="00010F9C"/>
    <w:rsid w:val="0001678E"/>
    <w:rsid w:val="00016FE7"/>
    <w:rsid w:val="00021C03"/>
    <w:rsid w:val="000342DD"/>
    <w:rsid w:val="00034631"/>
    <w:rsid w:val="0004249D"/>
    <w:rsid w:val="0004266F"/>
    <w:rsid w:val="00044960"/>
    <w:rsid w:val="00045B0D"/>
    <w:rsid w:val="00067753"/>
    <w:rsid w:val="000700D4"/>
    <w:rsid w:val="000733C9"/>
    <w:rsid w:val="00080602"/>
    <w:rsid w:val="0008218D"/>
    <w:rsid w:val="00090C39"/>
    <w:rsid w:val="000A65CE"/>
    <w:rsid w:val="000B1BA3"/>
    <w:rsid w:val="000B4AA0"/>
    <w:rsid w:val="000E0930"/>
    <w:rsid w:val="000E46DA"/>
    <w:rsid w:val="000F2EC4"/>
    <w:rsid w:val="00111F4D"/>
    <w:rsid w:val="00122F69"/>
    <w:rsid w:val="00123A7B"/>
    <w:rsid w:val="001565CF"/>
    <w:rsid w:val="00159558"/>
    <w:rsid w:val="00180D9C"/>
    <w:rsid w:val="0019409A"/>
    <w:rsid w:val="00194231"/>
    <w:rsid w:val="001B1B6E"/>
    <w:rsid w:val="001B3036"/>
    <w:rsid w:val="001E5C3B"/>
    <w:rsid w:val="001F5F95"/>
    <w:rsid w:val="001F7026"/>
    <w:rsid w:val="00241556"/>
    <w:rsid w:val="0024628D"/>
    <w:rsid w:val="00277683"/>
    <w:rsid w:val="002827B2"/>
    <w:rsid w:val="002866B9"/>
    <w:rsid w:val="002976A0"/>
    <w:rsid w:val="002A1E95"/>
    <w:rsid w:val="002D0285"/>
    <w:rsid w:val="002D5AA4"/>
    <w:rsid w:val="002D62E7"/>
    <w:rsid w:val="002E0E45"/>
    <w:rsid w:val="0031453B"/>
    <w:rsid w:val="003342B6"/>
    <w:rsid w:val="00335422"/>
    <w:rsid w:val="00341339"/>
    <w:rsid w:val="0036750C"/>
    <w:rsid w:val="0037406D"/>
    <w:rsid w:val="00375D40"/>
    <w:rsid w:val="00384205"/>
    <w:rsid w:val="00392069"/>
    <w:rsid w:val="003A2CC5"/>
    <w:rsid w:val="003D300C"/>
    <w:rsid w:val="003E6E91"/>
    <w:rsid w:val="0041251E"/>
    <w:rsid w:val="00413786"/>
    <w:rsid w:val="00421F72"/>
    <w:rsid w:val="00424BE8"/>
    <w:rsid w:val="0043470F"/>
    <w:rsid w:val="0046115D"/>
    <w:rsid w:val="004825D1"/>
    <w:rsid w:val="004A3B50"/>
    <w:rsid w:val="004A6692"/>
    <w:rsid w:val="004B10C7"/>
    <w:rsid w:val="004C0E2B"/>
    <w:rsid w:val="004C52A7"/>
    <w:rsid w:val="004C6A05"/>
    <w:rsid w:val="004D14B9"/>
    <w:rsid w:val="004E759A"/>
    <w:rsid w:val="004F1CC1"/>
    <w:rsid w:val="004F7123"/>
    <w:rsid w:val="005129BF"/>
    <w:rsid w:val="00514CE1"/>
    <w:rsid w:val="00537CD4"/>
    <w:rsid w:val="005429C1"/>
    <w:rsid w:val="00547CE5"/>
    <w:rsid w:val="00551F5B"/>
    <w:rsid w:val="0057465C"/>
    <w:rsid w:val="00584E91"/>
    <w:rsid w:val="005A5AF3"/>
    <w:rsid w:val="005C76CC"/>
    <w:rsid w:val="006118CF"/>
    <w:rsid w:val="006213A3"/>
    <w:rsid w:val="00624A17"/>
    <w:rsid w:val="00634B85"/>
    <w:rsid w:val="00640F8C"/>
    <w:rsid w:val="00653B04"/>
    <w:rsid w:val="00662EB9"/>
    <w:rsid w:val="006644DF"/>
    <w:rsid w:val="006730DC"/>
    <w:rsid w:val="00674525"/>
    <w:rsid w:val="00685C58"/>
    <w:rsid w:val="00686B0E"/>
    <w:rsid w:val="0069677A"/>
    <w:rsid w:val="006C3E0F"/>
    <w:rsid w:val="006C6F72"/>
    <w:rsid w:val="006F2034"/>
    <w:rsid w:val="00701E91"/>
    <w:rsid w:val="007027E1"/>
    <w:rsid w:val="0073750D"/>
    <w:rsid w:val="0074E759"/>
    <w:rsid w:val="00752157"/>
    <w:rsid w:val="007530B3"/>
    <w:rsid w:val="007622E5"/>
    <w:rsid w:val="007650E2"/>
    <w:rsid w:val="007652A5"/>
    <w:rsid w:val="00765503"/>
    <w:rsid w:val="0078021A"/>
    <w:rsid w:val="007846F0"/>
    <w:rsid w:val="007875D3"/>
    <w:rsid w:val="00790BB6"/>
    <w:rsid w:val="007921F1"/>
    <w:rsid w:val="007A37E5"/>
    <w:rsid w:val="007B1B85"/>
    <w:rsid w:val="007B1BD8"/>
    <w:rsid w:val="007B64A5"/>
    <w:rsid w:val="007C76CF"/>
    <w:rsid w:val="007C7961"/>
    <w:rsid w:val="007D3AC7"/>
    <w:rsid w:val="007E0772"/>
    <w:rsid w:val="007F5E00"/>
    <w:rsid w:val="008038FF"/>
    <w:rsid w:val="00805672"/>
    <w:rsid w:val="008110B7"/>
    <w:rsid w:val="00823EC1"/>
    <w:rsid w:val="00830492"/>
    <w:rsid w:val="00833174"/>
    <w:rsid w:val="0083751C"/>
    <w:rsid w:val="00845734"/>
    <w:rsid w:val="008504F9"/>
    <w:rsid w:val="00852533"/>
    <w:rsid w:val="00862738"/>
    <w:rsid w:val="008879AC"/>
    <w:rsid w:val="008916B7"/>
    <w:rsid w:val="008A01A5"/>
    <w:rsid w:val="008A3F08"/>
    <w:rsid w:val="008A4D1E"/>
    <w:rsid w:val="008A564F"/>
    <w:rsid w:val="008C3783"/>
    <w:rsid w:val="008C707B"/>
    <w:rsid w:val="008D6290"/>
    <w:rsid w:val="008E1F1E"/>
    <w:rsid w:val="00911173"/>
    <w:rsid w:val="009162A5"/>
    <w:rsid w:val="00940D5A"/>
    <w:rsid w:val="0094606E"/>
    <w:rsid w:val="009600FF"/>
    <w:rsid w:val="00962AB0"/>
    <w:rsid w:val="0099046E"/>
    <w:rsid w:val="009A49F3"/>
    <w:rsid w:val="009A5DD7"/>
    <w:rsid w:val="009B33BD"/>
    <w:rsid w:val="00A2163B"/>
    <w:rsid w:val="00A25A11"/>
    <w:rsid w:val="00A266E1"/>
    <w:rsid w:val="00A26C34"/>
    <w:rsid w:val="00A35A7D"/>
    <w:rsid w:val="00A57DC9"/>
    <w:rsid w:val="00A61F1F"/>
    <w:rsid w:val="00A62E83"/>
    <w:rsid w:val="00A72CAA"/>
    <w:rsid w:val="00A811E3"/>
    <w:rsid w:val="00A8738C"/>
    <w:rsid w:val="00A921FD"/>
    <w:rsid w:val="00AB6E5A"/>
    <w:rsid w:val="00AB7CBA"/>
    <w:rsid w:val="00AC7563"/>
    <w:rsid w:val="00AD659F"/>
    <w:rsid w:val="00AF2A79"/>
    <w:rsid w:val="00AF48F7"/>
    <w:rsid w:val="00AF7DDE"/>
    <w:rsid w:val="00B213B7"/>
    <w:rsid w:val="00B22089"/>
    <w:rsid w:val="00B711EC"/>
    <w:rsid w:val="00BD4622"/>
    <w:rsid w:val="00BF383F"/>
    <w:rsid w:val="00C03637"/>
    <w:rsid w:val="00C31F44"/>
    <w:rsid w:val="00C65EC7"/>
    <w:rsid w:val="00C67780"/>
    <w:rsid w:val="00C74ECF"/>
    <w:rsid w:val="00C77AAC"/>
    <w:rsid w:val="00C910C2"/>
    <w:rsid w:val="00CE1B63"/>
    <w:rsid w:val="00CE4ECA"/>
    <w:rsid w:val="00D04BC0"/>
    <w:rsid w:val="00D070D4"/>
    <w:rsid w:val="00D34AE6"/>
    <w:rsid w:val="00D64E0C"/>
    <w:rsid w:val="00D709D3"/>
    <w:rsid w:val="00D86783"/>
    <w:rsid w:val="00D900E2"/>
    <w:rsid w:val="00DA0048"/>
    <w:rsid w:val="00DB75B7"/>
    <w:rsid w:val="00DD2357"/>
    <w:rsid w:val="00DD50EB"/>
    <w:rsid w:val="00DD54D4"/>
    <w:rsid w:val="00DF0D68"/>
    <w:rsid w:val="00E10878"/>
    <w:rsid w:val="00E154F1"/>
    <w:rsid w:val="00E251D1"/>
    <w:rsid w:val="00E4172B"/>
    <w:rsid w:val="00E44A52"/>
    <w:rsid w:val="00E50D23"/>
    <w:rsid w:val="00E7014F"/>
    <w:rsid w:val="00E72416"/>
    <w:rsid w:val="00E909C6"/>
    <w:rsid w:val="00EB2953"/>
    <w:rsid w:val="00EB295F"/>
    <w:rsid w:val="00EB7E10"/>
    <w:rsid w:val="00ED6221"/>
    <w:rsid w:val="00F15DC4"/>
    <w:rsid w:val="00F57A00"/>
    <w:rsid w:val="00F63C96"/>
    <w:rsid w:val="00F70369"/>
    <w:rsid w:val="00F73BB7"/>
    <w:rsid w:val="00F950E7"/>
    <w:rsid w:val="00FC454A"/>
    <w:rsid w:val="00FC62A0"/>
    <w:rsid w:val="00FD00DE"/>
    <w:rsid w:val="00FD409E"/>
    <w:rsid w:val="00FD763C"/>
    <w:rsid w:val="00FE08C2"/>
    <w:rsid w:val="00FE594C"/>
    <w:rsid w:val="00FF16FE"/>
    <w:rsid w:val="062FC0E7"/>
    <w:rsid w:val="073164D4"/>
    <w:rsid w:val="0A10D7CC"/>
    <w:rsid w:val="0AA82FA5"/>
    <w:rsid w:val="0AB95865"/>
    <w:rsid w:val="11547D23"/>
    <w:rsid w:val="12EC8C25"/>
    <w:rsid w:val="131F3D0E"/>
    <w:rsid w:val="14BF9CE0"/>
    <w:rsid w:val="14E5EC8C"/>
    <w:rsid w:val="17093133"/>
    <w:rsid w:val="1717214C"/>
    <w:rsid w:val="17AF87DA"/>
    <w:rsid w:val="18AF0FD5"/>
    <w:rsid w:val="19170488"/>
    <w:rsid w:val="1A18A431"/>
    <w:rsid w:val="1A902782"/>
    <w:rsid w:val="1B5E09F2"/>
    <w:rsid w:val="1E2A7EC7"/>
    <w:rsid w:val="1FA887E3"/>
    <w:rsid w:val="21ADDC22"/>
    <w:rsid w:val="21FCF6A4"/>
    <w:rsid w:val="24019180"/>
    <w:rsid w:val="257244E2"/>
    <w:rsid w:val="264F1CE2"/>
    <w:rsid w:val="2769E1CD"/>
    <w:rsid w:val="28052794"/>
    <w:rsid w:val="28A56920"/>
    <w:rsid w:val="29EA3974"/>
    <w:rsid w:val="2A23E0B3"/>
    <w:rsid w:val="2C696252"/>
    <w:rsid w:val="2D94FE76"/>
    <w:rsid w:val="2DF5C4BF"/>
    <w:rsid w:val="35714CBF"/>
    <w:rsid w:val="36CAC55B"/>
    <w:rsid w:val="3C942C06"/>
    <w:rsid w:val="3D1EA03D"/>
    <w:rsid w:val="3D2F9154"/>
    <w:rsid w:val="40BDC2FA"/>
    <w:rsid w:val="4561D866"/>
    <w:rsid w:val="483C3D06"/>
    <w:rsid w:val="48FFDF1C"/>
    <w:rsid w:val="4A95EE61"/>
    <w:rsid w:val="4CD044BC"/>
    <w:rsid w:val="4DC93A66"/>
    <w:rsid w:val="4EF6B4B3"/>
    <w:rsid w:val="4F20B6C9"/>
    <w:rsid w:val="5072D7FE"/>
    <w:rsid w:val="51FAC781"/>
    <w:rsid w:val="52EE3D60"/>
    <w:rsid w:val="52FE3836"/>
    <w:rsid w:val="546D9888"/>
    <w:rsid w:val="563F1DEA"/>
    <w:rsid w:val="579D9859"/>
    <w:rsid w:val="583661EB"/>
    <w:rsid w:val="5A2EA922"/>
    <w:rsid w:val="5D78180D"/>
    <w:rsid w:val="5FC2FBFC"/>
    <w:rsid w:val="610FBF07"/>
    <w:rsid w:val="61F19137"/>
    <w:rsid w:val="6254CA5C"/>
    <w:rsid w:val="62D6989E"/>
    <w:rsid w:val="6323C733"/>
    <w:rsid w:val="63A0D3BD"/>
    <w:rsid w:val="66149A2F"/>
    <w:rsid w:val="665A5254"/>
    <w:rsid w:val="66F550A7"/>
    <w:rsid w:val="674D1A22"/>
    <w:rsid w:val="67A766B0"/>
    <w:rsid w:val="68A2E940"/>
    <w:rsid w:val="6C179B86"/>
    <w:rsid w:val="6D32B8A3"/>
    <w:rsid w:val="746411C0"/>
    <w:rsid w:val="76AA706C"/>
    <w:rsid w:val="76E6E6ED"/>
    <w:rsid w:val="797DCC89"/>
    <w:rsid w:val="7ABDA1E6"/>
    <w:rsid w:val="7BAD0A54"/>
    <w:rsid w:val="7C11D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A4EAE4"/>
  <w15:chartTrackingRefBased/>
  <w15:docId w15:val="{510208AF-CB25-4E2C-9FD7-AF875CBFA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0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OTE"/>
    <w:qFormat/>
    <w:rsid w:val="00180D9C"/>
    <w:rPr>
      <w:rFonts w:ascii="Calibri" w:hAnsi="Calibri"/>
      <w:color w:val="004E84"/>
    </w:rPr>
  </w:style>
  <w:style w:type="paragraph" w:styleId="Heading1">
    <w:name w:val="heading 1"/>
    <w:basedOn w:val="Normal"/>
    <w:next w:val="Normal"/>
    <w:link w:val="Heading1Char"/>
    <w:uiPriority w:val="9"/>
    <w:qFormat/>
    <w:rsid w:val="062FC0E7"/>
    <w:pPr>
      <w:keepNext/>
      <w:keepLines/>
      <w:spacing w:before="360" w:after="80"/>
      <w:outlineLvl w:val="0"/>
    </w:pPr>
    <w:rPr>
      <w:rFonts w:asciiTheme="minorHAnsi" w:eastAsiaTheme="majorEastAsia" w:hAnsiTheme="minorHAnsi"/>
      <w:color w:val="92477F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0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92477F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80D9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92477F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0D9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92477F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0D9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92477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0D9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0D9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0D9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0D9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0D9C"/>
    <w:rPr>
      <w:rFonts w:eastAsiaTheme="majorEastAsia"/>
      <w:color w:val="92477F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80D9C"/>
    <w:rPr>
      <w:rFonts w:asciiTheme="majorHAnsi" w:eastAsiaTheme="majorEastAsia" w:hAnsiTheme="majorHAnsi" w:cstheme="majorBidi"/>
      <w:color w:val="92477F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80D9C"/>
    <w:rPr>
      <w:rFonts w:eastAsiaTheme="majorEastAsia" w:cstheme="majorBidi"/>
      <w:color w:val="92477F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0D9C"/>
    <w:rPr>
      <w:rFonts w:eastAsiaTheme="majorEastAsia" w:cstheme="majorBidi"/>
      <w:i/>
      <w:iCs/>
      <w:color w:val="92477F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0D9C"/>
    <w:rPr>
      <w:rFonts w:eastAsiaTheme="majorEastAsia" w:cstheme="majorBidi"/>
      <w:color w:val="92477F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0D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0D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0D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0D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0D9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0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0D9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0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180D9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80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0D9C"/>
    <w:rPr>
      <w:rFonts w:ascii="Calibri" w:hAnsi="Calibri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D9C"/>
    <w:pPr>
      <w:pBdr>
        <w:top w:val="single" w:sz="4" w:space="10" w:color="92477F" w:themeColor="accent1" w:themeShade="BF"/>
        <w:bottom w:val="single" w:sz="4" w:space="10" w:color="92477F" w:themeColor="accent1" w:themeShade="BF"/>
      </w:pBdr>
      <w:spacing w:before="360" w:after="360"/>
      <w:ind w:left="864" w:right="864"/>
      <w:jc w:val="center"/>
    </w:pPr>
    <w:rPr>
      <w:i/>
      <w:iCs/>
      <w:color w:val="92477F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D9C"/>
    <w:rPr>
      <w:rFonts w:ascii="Calibri" w:hAnsi="Calibri"/>
      <w:i/>
      <w:iCs/>
      <w:color w:val="92477F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180D9C"/>
    <w:rPr>
      <w:i/>
      <w:iCs/>
      <w:color w:val="92477F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0D9C"/>
    <w:rPr>
      <w:b/>
      <w:bCs/>
      <w:smallCaps/>
      <w:color w:val="92477F" w:themeColor="accent1" w:themeShade="BF"/>
      <w:spacing w:val="5"/>
    </w:rPr>
  </w:style>
  <w:style w:type="table" w:styleId="TableGrid">
    <w:name w:val="Table Grid"/>
    <w:basedOn w:val="TableNormal"/>
    <w:uiPriority w:val="39"/>
    <w:rsid w:val="00A2163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A2163B"/>
    <w:rPr>
      <w:rFonts w:ascii="Calibri" w:hAnsi="Calibri"/>
      <w:color w:val="004E84"/>
    </w:rPr>
  </w:style>
  <w:style w:type="character" w:styleId="CommentReference">
    <w:name w:val="annotation reference"/>
    <w:basedOn w:val="DefaultParagraphFont"/>
    <w:uiPriority w:val="99"/>
    <w:semiHidden/>
    <w:unhideWhenUsed/>
    <w:rsid w:val="00A62E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2E83"/>
    <w:pPr>
      <w:spacing w:after="200" w:line="240" w:lineRule="auto"/>
    </w:pPr>
    <w:rPr>
      <w:rFonts w:asciiTheme="minorHAnsi" w:hAnsiTheme="minorHAnsi"/>
      <w:color w:val="auto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2E83"/>
    <w:rPr>
      <w:sz w:val="20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733C9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2"/>
      <w:sz w:val="24"/>
      <w:szCs w:val="24"/>
      <w:lang w:val="en-US"/>
    </w:rPr>
  </w:style>
  <w:style w:type="table" w:styleId="GridTable4-Accent1">
    <w:name w:val="Grid Table 4 Accent 1"/>
    <w:basedOn w:val="TableNormal"/>
    <w:rsid w:val="000733C9"/>
    <w:pPr>
      <w:spacing w:after="0" w:line="240" w:lineRule="auto"/>
    </w:pPr>
    <w:tblPr>
      <w:tblStyleRowBandSize w:val="1"/>
      <w:tblStyleColBandSize w:val="1"/>
      <w:tblBorders>
        <w:top w:val="single" w:sz="4" w:space="0" w:color="D3A6C8" w:themeColor="accent1" w:themeTint="99"/>
        <w:left w:val="single" w:sz="4" w:space="0" w:color="D3A6C8" w:themeColor="accent1" w:themeTint="99"/>
        <w:bottom w:val="single" w:sz="4" w:space="0" w:color="D3A6C8" w:themeColor="accent1" w:themeTint="99"/>
        <w:right w:val="single" w:sz="4" w:space="0" w:color="D3A6C8" w:themeColor="accent1" w:themeTint="99"/>
        <w:insideH w:val="single" w:sz="4" w:space="0" w:color="D3A6C8" w:themeColor="accent1" w:themeTint="99"/>
        <w:insideV w:val="single" w:sz="4" w:space="0" w:color="D3A6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76CA4" w:themeColor="accent1"/>
          <w:left w:val="single" w:sz="4" w:space="0" w:color="B76CA4" w:themeColor="accent1"/>
          <w:bottom w:val="single" w:sz="4" w:space="0" w:color="B76CA4" w:themeColor="accent1"/>
          <w:right w:val="single" w:sz="4" w:space="0" w:color="B76CA4" w:themeColor="accent1"/>
          <w:insideH w:val="nil"/>
          <w:insideV w:val="nil"/>
        </w:tcBorders>
        <w:shd w:val="clear" w:color="auto" w:fill="B76CA4" w:themeFill="accent1"/>
      </w:tcPr>
    </w:tblStylePr>
    <w:tblStylePr w:type="lastRow">
      <w:rPr>
        <w:b/>
        <w:bCs/>
      </w:rPr>
      <w:tblPr/>
      <w:tcPr>
        <w:tcBorders>
          <w:top w:val="double" w:sz="4" w:space="0" w:color="B76CA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1EC" w:themeFill="accent1" w:themeFillTint="33"/>
      </w:tcPr>
    </w:tblStylePr>
    <w:tblStylePr w:type="band1Horz">
      <w:tblPr/>
      <w:tcPr>
        <w:shd w:val="clear" w:color="auto" w:fill="F0E1EC" w:themeFill="accent1" w:themeFillTint="33"/>
      </w:tcPr>
    </w:tblStylePr>
  </w:style>
  <w:style w:type="character" w:customStyle="1" w:styleId="Nadpis2Char">
    <w:name w:val="Nadpis 2 Char"/>
    <w:basedOn w:val="DefaultParagraphFont"/>
    <w:uiPriority w:val="9"/>
    <w:semiHidden/>
    <w:rsid w:val="00C74ECF"/>
    <w:rPr>
      <w:rFonts w:asciiTheme="majorHAnsi" w:eastAsiaTheme="majorEastAsia" w:hAnsiTheme="majorHAnsi" w:cstheme="majorBidi"/>
      <w:color w:val="92477F" w:themeColor="accent1" w:themeShade="BF"/>
      <w:kern w:val="2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TE">
      <a:dk1>
        <a:sysClr val="windowText" lastClr="000000"/>
      </a:dk1>
      <a:lt1>
        <a:sysClr val="window" lastClr="FFFFFF"/>
      </a:lt1>
      <a:dk2>
        <a:srgbClr val="007CB9"/>
      </a:dk2>
      <a:lt2>
        <a:srgbClr val="004E84"/>
      </a:lt2>
      <a:accent1>
        <a:srgbClr val="B76CA4"/>
      </a:accent1>
      <a:accent2>
        <a:srgbClr val="6B6A6A"/>
      </a:accent2>
      <a:accent3>
        <a:srgbClr val="7DB928"/>
      </a:accent3>
      <a:accent4>
        <a:srgbClr val="E94661"/>
      </a:accent4>
      <a:accent5>
        <a:srgbClr val="EA5049"/>
      </a:accent5>
      <a:accent6>
        <a:srgbClr val="FAB23A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de8646-573c-4582-a446-b1aa6e566d12">
      <Terms xmlns="http://schemas.microsoft.com/office/infopath/2007/PartnerControls"/>
    </lcf76f155ced4ddcb4097134ff3c332f>
    <TaxCatchAll xmlns="5764ef3f-ca75-49c7-9cd1-af044072a22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7B28E3E5B6D544B9DA52393DEECE81" ma:contentTypeVersion="11" ma:contentTypeDescription="Vytvoří nový dokument" ma:contentTypeScope="" ma:versionID="3cb118d5bcedb566edeac25c05992aef">
  <xsd:schema xmlns:xsd="http://www.w3.org/2001/XMLSchema" xmlns:xs="http://www.w3.org/2001/XMLSchema" xmlns:p="http://schemas.microsoft.com/office/2006/metadata/properties" xmlns:ns2="fbde8646-573c-4582-a446-b1aa6e566d12" xmlns:ns3="5764ef3f-ca75-49c7-9cd1-af044072a229" targetNamespace="http://schemas.microsoft.com/office/2006/metadata/properties" ma:root="true" ma:fieldsID="c6d7e707ba8c0eed17075fa8c5b65459" ns2:_="" ns3:_="">
    <xsd:import namespace="fbde8646-573c-4582-a446-b1aa6e566d12"/>
    <xsd:import namespace="5764ef3f-ca75-49c7-9cd1-af044072a2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de8646-573c-4582-a446-b1aa6e566d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baa29a89-bcf3-42c6-9d47-7ac3c92f7e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4ef3f-ca75-49c7-9cd1-af044072a22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5632d33-f04d-4213-be2a-ef7e0b109da4}" ma:internalName="TaxCatchAll" ma:showField="CatchAllData" ma:web="5764ef3f-ca75-49c7-9cd1-af044072a2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ECB102-E028-4C0A-ADCF-F618A662E8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C687AF-C832-43C3-82D5-E418F8DAA85E}">
  <ds:schemaRefs>
    <ds:schemaRef ds:uri="http://schemas.microsoft.com/office/2006/metadata/properties"/>
    <ds:schemaRef ds:uri="http://schemas.microsoft.com/office/infopath/2007/PartnerControls"/>
    <ds:schemaRef ds:uri="fbde8646-573c-4582-a446-b1aa6e566d12"/>
    <ds:schemaRef ds:uri="5764ef3f-ca75-49c7-9cd1-af044072a229"/>
  </ds:schemaRefs>
</ds:datastoreItem>
</file>

<file path=customXml/itemProps3.xml><?xml version="1.0" encoding="utf-8"?>
<ds:datastoreItem xmlns:ds="http://schemas.openxmlformats.org/officeDocument/2006/customXml" ds:itemID="{13CB8F1D-D65F-428A-835C-B0979DC86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de8646-573c-4582-a446-b1aa6e566d12"/>
    <ds:schemaRef ds:uri="5764ef3f-ca75-49c7-9cd1-af044072a2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0</Pages>
  <Words>0</Words>
  <Characters>0</Characters>
  <Application>Microsoft Office Word</Application>
  <DocSecurity>4</DocSecurity>
  <Lines>0</Lines>
  <Paragraphs>0</Paragraphs>
  <ScaleCrop>false</ScaleCrop>
  <Company>OTE a.s.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Tomaierova, Romana</dc:creator>
  <cp:keywords/>
  <dc:description/>
  <cp:lastModifiedBy>Tomaierova, Romana</cp:lastModifiedBy>
  <cp:revision>13</cp:revision>
  <dcterms:created xsi:type="dcterms:W3CDTF">2026-09-18T10:47:00Z</dcterms:created>
  <dcterms:modified xsi:type="dcterms:W3CDTF">2026-09-18T11:14:00Z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0x010100E07B28E3E5B6D544B9DA52393DEECE81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